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F6" w:rsidRPr="00096297" w:rsidRDefault="004B59F6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bookmarkStart w:id="0" w:name="_GoBack"/>
      <w:bookmarkEnd w:id="0"/>
      <w:r w:rsidRPr="00096297">
        <w:rPr>
          <w:rFonts w:asciiTheme="minorHAnsi" w:hAnsiTheme="minorHAnsi" w:cstheme="minorHAnsi"/>
          <w:b/>
          <w:bCs/>
          <w:i/>
          <w:sz w:val="32"/>
          <w:szCs w:val="32"/>
        </w:rPr>
        <w:t>ANEXO II</w:t>
      </w:r>
    </w:p>
    <w:p w:rsidR="000366DC" w:rsidRPr="00096297" w:rsidRDefault="000366DC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96297">
        <w:rPr>
          <w:rFonts w:asciiTheme="minorHAnsi" w:hAnsiTheme="minorHAnsi" w:cstheme="minorHAnsi"/>
          <w:b/>
          <w:bCs/>
        </w:rPr>
        <w:t>MINUTA DE DECLARAÇÃO</w:t>
      </w:r>
    </w:p>
    <w:p w:rsidR="00922A79" w:rsidRPr="00722E90" w:rsidRDefault="00922A79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2E90">
        <w:rPr>
          <w:rFonts w:asciiTheme="minorHAnsi" w:hAnsiTheme="minorHAnsi" w:cstheme="minorHAnsi"/>
          <w:sz w:val="22"/>
          <w:szCs w:val="22"/>
        </w:rPr>
        <w:t>(nome, número fiscal de contribuinte, número de cartão do cidadão, bilhete de identidade ou passaporte, estado civil e domicílio ou, no caso de ser uma pessoa coletiva, a denominação social, sede, objeto social, nome dos titulares dos corpos sociais e de outras pessoas com poderes para a obrigarem, indicação do número de pessoa coletiva, da conservatória do registo comercial onde se encontra registada e do respetivo capital social), na qualidade de representante legal de</w:t>
      </w:r>
      <w:r w:rsidR="0072270D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Pr="00722E90">
        <w:rPr>
          <w:rFonts w:asciiTheme="minorHAnsi" w:hAnsiTheme="minorHAnsi" w:cstheme="minorHAnsi"/>
          <w:sz w:val="22"/>
          <w:szCs w:val="22"/>
        </w:rPr>
        <w:t xml:space="preserve"> </w:t>
      </w:r>
      <w:r w:rsidR="0072270D">
        <w:rPr>
          <w:rFonts w:asciiTheme="minorHAnsi" w:hAnsiTheme="minorHAnsi" w:cstheme="minorHAnsi"/>
          <w:sz w:val="22"/>
          <w:szCs w:val="22"/>
        </w:rPr>
        <w:t>____________________</w:t>
      </w:r>
      <w:r w:rsidRPr="00722E90">
        <w:rPr>
          <w:rFonts w:asciiTheme="minorHAnsi" w:hAnsiTheme="minorHAnsi" w:cstheme="minorHAnsi"/>
          <w:sz w:val="22"/>
          <w:szCs w:val="22"/>
        </w:rPr>
        <w:t>(firma, número de identificação fiscal e sede ou, no caso de agrupamento concorrente, firmas, números de identificação fiscal e sedes), tendo tomado inteiro e perfeito conhecimento das peças da Hasta Pública</w:t>
      </w:r>
      <w:r w:rsidR="005A11CE" w:rsidRPr="00722E90">
        <w:rPr>
          <w:rFonts w:asciiTheme="minorHAnsi" w:hAnsiTheme="minorHAnsi" w:cstheme="minorHAnsi"/>
          <w:sz w:val="22"/>
          <w:szCs w:val="22"/>
        </w:rPr>
        <w:t xml:space="preserve"> referentes ao Programa de Procedimento de Hasta Pública de Arrendamento de Antigos Edifícios Escolares para Fins de Utilização Turística (alojamento local</w:t>
      </w:r>
      <w:r w:rsidR="007C349D">
        <w:rPr>
          <w:rFonts w:asciiTheme="minorHAnsi" w:hAnsiTheme="minorHAnsi" w:cstheme="minorHAnsi"/>
          <w:sz w:val="22"/>
          <w:szCs w:val="22"/>
        </w:rPr>
        <w:t>)</w:t>
      </w:r>
      <w:r w:rsidR="005A11CE" w:rsidRPr="00722E90">
        <w:rPr>
          <w:rFonts w:asciiTheme="minorHAnsi" w:hAnsiTheme="minorHAnsi" w:cstheme="minorHAnsi"/>
          <w:sz w:val="22"/>
          <w:szCs w:val="22"/>
        </w:rPr>
        <w:t>,</w:t>
      </w:r>
      <w:r w:rsidRPr="00722E90">
        <w:rPr>
          <w:rFonts w:asciiTheme="minorHAnsi" w:hAnsiTheme="minorHAnsi" w:cstheme="minorHAnsi"/>
          <w:sz w:val="22"/>
          <w:szCs w:val="22"/>
        </w:rPr>
        <w:t xml:space="preserve"> </w:t>
      </w:r>
      <w:r w:rsidR="005A11CE" w:rsidRPr="00722E90">
        <w:rPr>
          <w:rFonts w:asciiTheme="minorHAnsi" w:hAnsiTheme="minorHAnsi" w:cstheme="minorHAnsi"/>
          <w:sz w:val="22"/>
          <w:szCs w:val="22"/>
        </w:rPr>
        <w:t xml:space="preserve">cujo ato público se realizará </w:t>
      </w:r>
      <w:r w:rsidRPr="00722E90">
        <w:rPr>
          <w:rFonts w:asciiTheme="minorHAnsi" w:hAnsiTheme="minorHAnsi" w:cstheme="minorHAnsi"/>
          <w:sz w:val="22"/>
          <w:szCs w:val="22"/>
        </w:rPr>
        <w:t xml:space="preserve">no dia ___________, pretendendo arrendar o Imóvel </w:t>
      </w:r>
      <w:r w:rsidR="005A11CE" w:rsidRPr="00722E90">
        <w:rPr>
          <w:rFonts w:asciiTheme="minorHAnsi" w:hAnsiTheme="minorHAnsi" w:cstheme="minorHAnsi"/>
          <w:sz w:val="22"/>
          <w:szCs w:val="22"/>
        </w:rPr>
        <w:t>com a denominação</w:t>
      </w:r>
      <w:r w:rsidRPr="00722E90">
        <w:rPr>
          <w:rFonts w:asciiTheme="minorHAnsi" w:hAnsiTheme="minorHAnsi" w:cstheme="minorHAnsi"/>
          <w:sz w:val="22"/>
          <w:szCs w:val="22"/>
        </w:rPr>
        <w:t xml:space="preserve">_________________________________, </w:t>
      </w:r>
      <w:r w:rsidR="005A11CE" w:rsidRPr="00722E90">
        <w:rPr>
          <w:rFonts w:asciiTheme="minorHAnsi" w:hAnsiTheme="minorHAnsi" w:cstheme="minorHAnsi"/>
          <w:sz w:val="22"/>
          <w:szCs w:val="22"/>
        </w:rPr>
        <w:t>sito em _____________________________________________</w:t>
      </w:r>
      <w:r w:rsidRPr="00722E90">
        <w:rPr>
          <w:rFonts w:asciiTheme="minorHAnsi" w:hAnsiTheme="minorHAnsi" w:cstheme="minorHAnsi"/>
          <w:sz w:val="22"/>
          <w:szCs w:val="22"/>
        </w:rPr>
        <w:t>vem por este meio declara</w:t>
      </w:r>
      <w:r w:rsidR="007C349D">
        <w:rPr>
          <w:rFonts w:asciiTheme="minorHAnsi" w:hAnsiTheme="minorHAnsi" w:cstheme="minorHAnsi"/>
          <w:sz w:val="22"/>
          <w:szCs w:val="22"/>
        </w:rPr>
        <w:t>r</w:t>
      </w:r>
      <w:r w:rsidRPr="00722E90">
        <w:rPr>
          <w:rFonts w:asciiTheme="minorHAnsi" w:hAnsiTheme="minorHAnsi" w:cstheme="minorHAnsi"/>
          <w:sz w:val="22"/>
          <w:szCs w:val="22"/>
        </w:rPr>
        <w:t xml:space="preserve">, sob compromisso de honra, </w:t>
      </w:r>
      <w:proofErr w:type="gramStart"/>
      <w:r w:rsidRPr="00722E90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722E9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2E90">
        <w:rPr>
          <w:rFonts w:asciiTheme="minorHAnsi" w:hAnsiTheme="minorHAnsi" w:cstheme="minorHAnsi"/>
          <w:sz w:val="22"/>
          <w:szCs w:val="22"/>
        </w:rPr>
        <w:t xml:space="preserve">a) Não se encontra em estado de insolvência, em fase de liquidação, dissolução ou cessação de atividade, sujeita a qualquer meio preventivo de liquidação de patrimónios ou em qualquer situação análoga, nem tem o respetivo processo pendente; </w:t>
      </w:r>
    </w:p>
    <w:p w:rsidR="00EF6402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2E90">
        <w:rPr>
          <w:rFonts w:asciiTheme="minorHAnsi" w:hAnsiTheme="minorHAnsi" w:cstheme="minorHAnsi"/>
          <w:sz w:val="22"/>
          <w:szCs w:val="22"/>
        </w:rPr>
        <w:t>b) Não foi condenado(a) por sentença transitada em julgado por qualquer crime que afete a sua honorabilidade profissional</w:t>
      </w:r>
      <w:r w:rsidR="0072270D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722E90">
        <w:rPr>
          <w:rFonts w:asciiTheme="minorHAnsi" w:hAnsiTheme="minorHAnsi" w:cstheme="minorHAnsi"/>
          <w:sz w:val="22"/>
          <w:szCs w:val="22"/>
        </w:rPr>
        <w:t xml:space="preserve"> ou os titulares dos seus órgãos sociais de administração, direção ou gerência não foram condenados por qualquer crime que afete a sua honorabilidade profissional</w:t>
      </w:r>
      <w:r w:rsidR="0072270D"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  <w:r w:rsidRPr="00722E90">
        <w:rPr>
          <w:rFonts w:asciiTheme="minorHAnsi" w:hAnsiTheme="minorHAnsi" w:cstheme="minorHAnsi"/>
          <w:sz w:val="22"/>
          <w:szCs w:val="22"/>
        </w:rPr>
        <w:t xml:space="preserve"> </w:t>
      </w:r>
      <w:r w:rsidR="0072270D">
        <w:rPr>
          <w:rStyle w:val="Refdenotaderodap"/>
          <w:rFonts w:asciiTheme="minorHAnsi" w:hAnsiTheme="minorHAnsi" w:cstheme="minorHAnsi"/>
          <w:sz w:val="22"/>
          <w:szCs w:val="22"/>
        </w:rPr>
        <w:footnoteReference w:id="4"/>
      </w:r>
      <w:r w:rsidRPr="00722E9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c) Não foi objeto de aplicação de sanção administrativa por falta grave em matéria profissional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5"/>
      </w:r>
      <w:r w:rsidR="007227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>ou os titulares dos seus órgãos sociais de administração, direção ou gerência não foram objeto de aplicação de sanção administrativa por falta grave em matéria profissional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6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7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lastRenderedPageBreak/>
        <w:t>d) Tem a sua situação regularizada relativamente a contribuições para a segurança social em Portugal ou no Estado de que é nacional ou no qual se situe o seu estabelecimento principal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8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e) Tem a sua situação regularizada relativamente a impostos devidos em Portugal ou no Estado de que é nacional ou no qual se situe o seu estabelecimento principal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9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f) Se encontra em situação regularizada relativamente a dívidas por impostos, contribuições e taxas ao Município </w:t>
      </w:r>
      <w:r w:rsidR="00EF6402" w:rsidRPr="00722E90">
        <w:rPr>
          <w:rFonts w:asciiTheme="minorHAnsi" w:hAnsiTheme="minorHAnsi" w:cstheme="minorHAnsi"/>
          <w:color w:val="auto"/>
          <w:sz w:val="22"/>
          <w:szCs w:val="22"/>
        </w:rPr>
        <w:t>de Pombal</w:t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g) Não foi objeto de aplicação da sanção acessória prevista na alínea e) do n.º 1 do artigo 21.º do Decreto-Lei n.º 433/82, de 27 de outubro, na alínea b) do n.º 1 do artigo 71.º da Lei n.º 19/2012, de 8 de maio, durante o período de inabilidade fixado na decisão condenatória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10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h) Não foi objeto de aplicação da sançã</w:t>
      </w:r>
      <w:r w:rsidR="00722E90" w:rsidRPr="00722E90">
        <w:rPr>
          <w:rFonts w:asciiTheme="minorHAnsi" w:hAnsiTheme="minorHAnsi" w:cstheme="minorHAnsi"/>
          <w:color w:val="auto"/>
          <w:sz w:val="22"/>
          <w:szCs w:val="22"/>
        </w:rPr>
        <w:t>o acessória prevista na alínea b) do n.º 2</w:t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 do artigo </w:t>
      </w:r>
      <w:r w:rsidR="00722E90" w:rsidRPr="00722E90">
        <w:rPr>
          <w:rFonts w:asciiTheme="minorHAnsi" w:hAnsiTheme="minorHAnsi" w:cstheme="minorHAnsi"/>
          <w:color w:val="auto"/>
          <w:sz w:val="22"/>
          <w:szCs w:val="22"/>
        </w:rPr>
        <w:t>562</w:t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>.º do Código do Trabalho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11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i) Não foi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ou no Estado de que é nacional ou no qual se situe o seu estabelecimento principal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12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j) Não foi condenado(a) por sentença transitada em julgado por alguns dos seguintes crimes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13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 ou os titulares dos seus órgãos sociais de administração, direção ou gerência não foram condenados por alguns dos seguintes crimes 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14"/>
      </w:r>
      <w:r w:rsidR="007227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270D">
        <w:rPr>
          <w:rStyle w:val="Refdenotaderodap"/>
          <w:rFonts w:asciiTheme="minorHAnsi" w:hAnsiTheme="minorHAnsi" w:cstheme="minorHAnsi"/>
          <w:color w:val="auto"/>
          <w:sz w:val="22"/>
          <w:szCs w:val="22"/>
        </w:rPr>
        <w:footnoteReference w:id="15"/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0366DC" w:rsidRPr="00722E90" w:rsidRDefault="000366DC" w:rsidP="00922A7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Participação em atividades de uma organização criminosa, tal como definida no n.º 1 do artigo 2.º da Ação Comum n.º 98/773/JAI, do Conselho; </w:t>
      </w:r>
    </w:p>
    <w:p w:rsidR="000366DC" w:rsidRPr="00722E90" w:rsidRDefault="000366DC" w:rsidP="00922A7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Corrupção, na aceção do artigo 3.º do Ato do Conselho de 26 de maio de 1997 e do n.º 1 do artigo 3.º da Ação Comum n.º 98/742//JAI, do Conselho; </w:t>
      </w:r>
    </w:p>
    <w:p w:rsidR="000366DC" w:rsidRPr="00722E90" w:rsidRDefault="000366DC" w:rsidP="00922A7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Fraude, na aceção do artigo 1.º da Convenção relativa à Proteção dos Interesses Financeiros das Comunidades Europeias; </w:t>
      </w:r>
    </w:p>
    <w:p w:rsidR="000366DC" w:rsidRPr="00722E90" w:rsidRDefault="000366DC" w:rsidP="00922A7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Branqueamento de capitais, na aceção do artigo 1.º da Diretiva n.º 91/308/CEE, do Conselho, de 10 de junho, relativa à prevenção da utilização do sistema financeiro para efeitos de branqueamento de capitais.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l) Não prestou, a qualquer título, direta ou indiretamente, assessoria ou apoio técnico na preparação e elaboração das peças do procedimento que lhe confira vantagem </w:t>
      </w:r>
      <w:r w:rsidR="00D377F2">
        <w:rPr>
          <w:rFonts w:asciiTheme="minorHAnsi" w:hAnsiTheme="minorHAnsi" w:cstheme="minorHAnsi"/>
          <w:color w:val="auto"/>
          <w:sz w:val="22"/>
          <w:szCs w:val="22"/>
        </w:rPr>
        <w:t xml:space="preserve">ou </w:t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que falseie as condições normais de concorrência. </w:t>
      </w: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3 – O declarante tem pleno conhecimento de que a prestação de falsas declarações implica, consoante o caso, a exclusão da candidatura apresentada ou a caducidade de adjudicação qu</w:t>
      </w:r>
      <w:r w:rsidR="00722E90" w:rsidRPr="00722E90">
        <w:rPr>
          <w:rFonts w:asciiTheme="minorHAnsi" w:hAnsiTheme="minorHAnsi" w:cstheme="minorHAnsi"/>
          <w:color w:val="auto"/>
          <w:sz w:val="22"/>
          <w:szCs w:val="22"/>
        </w:rPr>
        <w:t>e eventualmente sobre ela recaia, sem prejuízo das competentes participações para procedimento civil e criminal</w:t>
      </w: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22E90" w:rsidRPr="00722E90" w:rsidRDefault="00722E90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66DC" w:rsidRPr="00722E90" w:rsidRDefault="000366DC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 xml:space="preserve">____________ (local), ____________ (data) </w:t>
      </w:r>
    </w:p>
    <w:p w:rsidR="00722E90" w:rsidRPr="00722E90" w:rsidRDefault="00722E90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22E90" w:rsidRPr="00722E90" w:rsidRDefault="00722E90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2E90">
        <w:rPr>
          <w:rFonts w:asciiTheme="minorHAnsi" w:hAnsiTheme="minorHAnsi" w:cstheme="minorHAnsi"/>
          <w:color w:val="auto"/>
          <w:sz w:val="22"/>
          <w:szCs w:val="22"/>
        </w:rPr>
        <w:t>__________________________________</w:t>
      </w:r>
    </w:p>
    <w:p w:rsidR="000366DC" w:rsidRPr="0072270D" w:rsidRDefault="0072270D" w:rsidP="00C82E4B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2"/>
        </w:rPr>
      </w:pPr>
      <w:r>
        <w:rPr>
          <w:rFonts w:asciiTheme="minorHAnsi" w:hAnsiTheme="minorHAnsi" w:cstheme="minorHAnsi"/>
          <w:color w:val="auto"/>
          <w:sz w:val="20"/>
          <w:szCs w:val="22"/>
        </w:rPr>
        <w:t>(</w:t>
      </w:r>
      <w:r w:rsidR="00722E90" w:rsidRPr="0072270D">
        <w:rPr>
          <w:rFonts w:asciiTheme="minorHAnsi" w:hAnsiTheme="minorHAnsi" w:cstheme="minorHAnsi"/>
          <w:color w:val="auto"/>
          <w:sz w:val="20"/>
          <w:szCs w:val="22"/>
        </w:rPr>
        <w:t>A</w:t>
      </w:r>
      <w:r w:rsidR="000366DC" w:rsidRPr="0072270D">
        <w:rPr>
          <w:rFonts w:asciiTheme="minorHAnsi" w:hAnsiTheme="minorHAnsi" w:cstheme="minorHAnsi"/>
          <w:color w:val="auto"/>
          <w:sz w:val="20"/>
          <w:szCs w:val="22"/>
        </w:rPr>
        <w:t>ssinatura do candidato ou do representante legal do candidato</w:t>
      </w:r>
      <w:r>
        <w:rPr>
          <w:rFonts w:asciiTheme="minorHAnsi" w:hAnsiTheme="minorHAnsi" w:cstheme="minorHAnsi"/>
          <w:color w:val="auto"/>
          <w:sz w:val="20"/>
          <w:szCs w:val="22"/>
        </w:rPr>
        <w:t>)</w:t>
      </w:r>
    </w:p>
    <w:p w:rsidR="00C82E4B" w:rsidRDefault="00C82E4B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C82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3B" w:rsidRDefault="0046633B" w:rsidP="0072270D">
      <w:pPr>
        <w:spacing w:after="0" w:line="240" w:lineRule="auto"/>
      </w:pPr>
      <w:r>
        <w:separator/>
      </w:r>
    </w:p>
  </w:endnote>
  <w:endnote w:type="continuationSeparator" w:id="0">
    <w:p w:rsidR="0046633B" w:rsidRDefault="0046633B" w:rsidP="007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7" w:rsidRDefault="000962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7" w:rsidRDefault="000962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7" w:rsidRDefault="00096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3B" w:rsidRDefault="0046633B" w:rsidP="0072270D">
      <w:pPr>
        <w:spacing w:after="0" w:line="240" w:lineRule="auto"/>
      </w:pPr>
      <w:r>
        <w:separator/>
      </w:r>
    </w:p>
  </w:footnote>
  <w:footnote w:type="continuationSeparator" w:id="0">
    <w:p w:rsidR="0046633B" w:rsidRDefault="0046633B" w:rsidP="0072270D">
      <w:pPr>
        <w:spacing w:after="0" w:line="240" w:lineRule="auto"/>
      </w:pPr>
      <w:r>
        <w:continuationSeparator/>
      </w:r>
    </w:p>
  </w:footnote>
  <w:footnote w:id="1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Aplicável apenas a concorrentes que sejam pessoas coletivas.</w:t>
      </w:r>
    </w:p>
  </w:footnote>
  <w:footnote w:id="2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ocorreu a respetiva reabilitação.</w:t>
      </w:r>
    </w:p>
  </w:footnote>
  <w:footnote w:id="3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ocorreu a respetiva reabilitação.</w:t>
      </w:r>
    </w:p>
  </w:footnote>
  <w:footnote w:id="4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Declarar consoante o concorrente seja pessoa singular ou pessoa coletiva.</w:t>
      </w:r>
    </w:p>
  </w:footnote>
  <w:footnote w:id="5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ocorreu a respetiva reabilitação.</w:t>
      </w:r>
    </w:p>
  </w:footnote>
  <w:footnote w:id="6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ocorreu a respetiva reabilitação.</w:t>
      </w:r>
    </w:p>
  </w:footnote>
  <w:footnote w:id="7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Declarar consoante o concorrente seja pessoa singular ou pessoa coletiva.</w:t>
      </w:r>
    </w:p>
  </w:footnote>
  <w:footnote w:id="8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Declarar consoante a situação.</w:t>
      </w:r>
    </w:p>
  </w:footnote>
  <w:footnote w:id="9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Declarar consoante a situação.</w:t>
      </w:r>
    </w:p>
  </w:footnote>
  <w:footnote w:id="10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decorreu o período de inabilidade fixado na decisão condenatória.</w:t>
      </w:r>
    </w:p>
  </w:footnote>
  <w:footnote w:id="11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decorreu o período de inabilidade fixado na decisão condenatória.</w:t>
      </w:r>
    </w:p>
  </w:footnote>
  <w:footnote w:id="12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Declarar consoante a situação</w:t>
      </w:r>
      <w:r>
        <w:rPr>
          <w:rFonts w:cstheme="minorHAnsi"/>
          <w:sz w:val="18"/>
          <w:szCs w:val="22"/>
        </w:rPr>
        <w:t>.</w:t>
      </w:r>
    </w:p>
  </w:footnote>
  <w:footnote w:id="13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ocorreu a sua reabilitação.</w:t>
      </w:r>
    </w:p>
  </w:footnote>
  <w:footnote w:id="14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Indicar se, entretanto, ocorreu a sua reabilitação.</w:t>
      </w:r>
    </w:p>
  </w:footnote>
  <w:footnote w:id="15">
    <w:p w:rsidR="0072270D" w:rsidRDefault="007227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2A79">
        <w:rPr>
          <w:rFonts w:cstheme="minorHAnsi"/>
          <w:sz w:val="18"/>
          <w:szCs w:val="22"/>
        </w:rPr>
        <w:t>Declarar consoante o concorrente seja pessoa singular ou pessoa coletiva.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7" w:rsidRDefault="000962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7" w:rsidRDefault="00096297" w:rsidP="00096297">
    <w:pPr>
      <w:pStyle w:val="Cabealho"/>
      <w:jc w:val="right"/>
      <w:rPr>
        <w:rFonts w:ascii="Garamond" w:hAnsi="Garamond"/>
        <w:b/>
      </w:rPr>
    </w:pPr>
    <w:r>
      <w:rPr>
        <w:rFonts w:ascii="Garamond" w:hAnsi="Garamond"/>
        <w:b/>
      </w:rPr>
      <w:tab/>
      <w:t xml:space="preserve">MUNICÍPIO DE POMBAL </w:t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-17145</wp:posOffset>
          </wp:positionV>
          <wp:extent cx="753745" cy="748665"/>
          <wp:effectExtent l="0" t="0" r="8255" b="0"/>
          <wp:wrapNone/>
          <wp:docPr id="1" name="Imagem 1" descr="bras_p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p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297" w:rsidRDefault="00096297" w:rsidP="00096297">
    <w:pPr>
      <w:pStyle w:val="Cabealho"/>
      <w:jc w:val="center"/>
      <w:rPr>
        <w:rFonts w:ascii="Calibri" w:hAnsi="Calibri" w:cs="Arial"/>
        <w:b/>
        <w:color w:val="808080"/>
      </w:rPr>
    </w:pPr>
  </w:p>
  <w:p w:rsidR="00096297" w:rsidRDefault="00096297" w:rsidP="00096297">
    <w:pPr>
      <w:pStyle w:val="Cabealho"/>
      <w:jc w:val="center"/>
      <w:rPr>
        <w:rFonts w:cs="Arial"/>
        <w:b/>
        <w:color w:val="808080"/>
      </w:rPr>
    </w:pPr>
  </w:p>
  <w:p w:rsidR="00096297" w:rsidRDefault="00096297">
    <w:pPr>
      <w:pStyle w:val="Cabealho"/>
    </w:pPr>
  </w:p>
  <w:p w:rsidR="00096297" w:rsidRDefault="00096297">
    <w:pPr>
      <w:pStyle w:val="Cabealho"/>
    </w:pPr>
  </w:p>
  <w:p w:rsidR="00096297" w:rsidRDefault="000962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7" w:rsidRDefault="000962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760"/>
    <w:multiLevelType w:val="hybridMultilevel"/>
    <w:tmpl w:val="8ABE28F2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6AA"/>
    <w:multiLevelType w:val="hybridMultilevel"/>
    <w:tmpl w:val="7F00C644"/>
    <w:lvl w:ilvl="0" w:tplc="F920F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0"/>
    <w:rsid w:val="000366DC"/>
    <w:rsid w:val="00096297"/>
    <w:rsid w:val="00206698"/>
    <w:rsid w:val="003871CF"/>
    <w:rsid w:val="0046633B"/>
    <w:rsid w:val="004B58ED"/>
    <w:rsid w:val="004B59F6"/>
    <w:rsid w:val="005A11CE"/>
    <w:rsid w:val="005D4DF0"/>
    <w:rsid w:val="0072270D"/>
    <w:rsid w:val="00722E90"/>
    <w:rsid w:val="007C349D"/>
    <w:rsid w:val="007D32DF"/>
    <w:rsid w:val="00816C89"/>
    <w:rsid w:val="008D1849"/>
    <w:rsid w:val="00922A79"/>
    <w:rsid w:val="00A23D91"/>
    <w:rsid w:val="00A67F3C"/>
    <w:rsid w:val="00C82E4B"/>
    <w:rsid w:val="00D377F2"/>
    <w:rsid w:val="00DC5BF1"/>
    <w:rsid w:val="00E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019D2CD-5525-4441-8E9E-F3F34E3F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66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2270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2270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9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6297"/>
  </w:style>
  <w:style w:type="paragraph" w:styleId="Rodap">
    <w:name w:val="footer"/>
    <w:basedOn w:val="Normal"/>
    <w:link w:val="RodapCarter"/>
    <w:uiPriority w:val="99"/>
    <w:unhideWhenUsed/>
    <w:rsid w:val="0009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6297"/>
  </w:style>
  <w:style w:type="paragraph" w:styleId="Textodebalo">
    <w:name w:val="Balloon Text"/>
    <w:basedOn w:val="Normal"/>
    <w:link w:val="TextodebaloCarter"/>
    <w:uiPriority w:val="99"/>
    <w:semiHidden/>
    <w:unhideWhenUsed/>
    <w:rsid w:val="0081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A9A6-12C5-4408-930A-D7F605EE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Martins</dc:creator>
  <cp:keywords/>
  <dc:description/>
  <cp:lastModifiedBy>Antonio Neves</cp:lastModifiedBy>
  <cp:revision>2</cp:revision>
  <cp:lastPrinted>2019-11-21T14:18:00Z</cp:lastPrinted>
  <dcterms:created xsi:type="dcterms:W3CDTF">2021-06-24T14:19:00Z</dcterms:created>
  <dcterms:modified xsi:type="dcterms:W3CDTF">2021-06-24T14:19:00Z</dcterms:modified>
</cp:coreProperties>
</file>